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 [XXX Latala et al., 2006 - soon in zotero].</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habitat. Pre-cultures were maintained in incubators set to full air saturated dissolved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7:00 AM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1:00 PM each day.</w:t>
      </w:r>
    </w:p>
    <w:p>
      <w:pPr>
        <w:pStyle w:val="BodyText"/>
      </w:pPr>
      <w:r>
        <w:t xml:space="preserve">Each tube was maintained under an individual combination of one of 7 spectral wavebands (centred at 405, 450, 470, 530, 620, 660, or 730 nm) and 2 dissolved oxygen concentrations (O</w:t>
      </w:r>
      <w:r>
        <w:rPr>
          <w:vertAlign w:val="subscript"/>
        </w:rPr>
        <w:t xml:space="preserve">2</w:t>
      </w:r>
      <w:r>
        <w:t xml:space="preserve">; 250 µM and 2.5 µM).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high dissolved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The low dissovled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 </w:t>
      </w:r>
      <w:r>
        <w:t xml:space="preserve">concentrations</w:t>
      </w:r>
      <w:r>
        <w:t xml:space="preserve"> </w:t>
      </w:r>
      <w:r>
        <w:rPr>
          <w:iCs/>
          <w:i/>
        </w:rPr>
        <w:t xml:space="preserve">in situ</w:t>
      </w:r>
      <w:r>
        <w:t xml:space="preserve"> </w:t>
      </w:r>
      <w:r>
        <w:t xml:space="preserve">were verified using oxygen optodes (PyroScience, Germany) inserted into tubes for real-time measurements (data not presented), wiht software correctiong to account for the salinity of the media (8 PSU). The pH of tested cultures remained about 8, with limited fluctuation during the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for photophysiological characterizations repeatedly across the growth trajectories. For the low oxygen cultures, to ensure functional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t>
      </w:r>
      <w:r>
        <w:t xml:space="preserve">concentration was verified using oxygen optodes (PyroScience, Germany) inserted into culture samples for functional measurements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XX excitation flashlets of 1.2 µs to drive saturation, followed immediately by logarithmically spaced flashlets to track relaxation,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Flashlets and actinic light were delivered from LED emitters centred at 445, preferentially exciting chlorophyll; 470, preferentially exciting phycourobilin (PUB); 530, preferentially exciting phycoerythrin (PE); or 590 nm,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cultures.</w:t>
      </w:r>
    </w:p>
    <w:p>
      <w:pPr>
        <w:pStyle w:val="BodyText"/>
      </w:pPr>
      <w:r>
        <w:t xml:space="preserve">Flashlet power delivered to the samples during the 1.2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and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XXXXCITATION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 XXXhttps://pubs.acs.org/doi/full/10.1021/acs.est.8b03488XXXX,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XXXXMAYBE WE SHOULD ADD JVPSII to the LIGHT RESPONSE FUNCTIONAL FIGURE???XXXX</w:t>
      </w:r>
    </w:p>
    <w:p>
      <w:pPr>
        <w:pStyle w:val="BodyText"/>
      </w:pPr>
      <w:r>
        <w:t xml:space="preserve">For the samples on whichFRRf measurements were performed,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O</w:t>
      </w:r>
      <w:r>
        <w:rPr>
          <w:vertAlign w:val="subscript"/>
        </w:rPr>
        <w:t xml:space="preserve">2</w:t>
      </w:r>
      <w:r>
        <w:t xml:space="preserve"> </w:t>
      </w:r>
      <w:r>
        <w:t xml:space="preserve">concentration, and their interactions,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O</w:t>
      </w:r>
      <w:r>
        <w:rPr>
          <w:vertAlign w:val="subscript"/>
        </w:rPr>
        <w:t xml:space="preserve">2</w:t>
      </w:r>
      <w:r>
        <w:t xml:space="preserve"> </w:t>
      </w:r>
      <w:r>
        <w:t xml:space="preserve">concentration, and their interactions,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concentrations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 and data is available on XXXXRESPOSITORY??? BOREALIS?????.</w:t>
      </w:r>
    </w:p>
    <w:p>
      <w:pPr>
        <w:pStyle w:val="BodyText"/>
      </w:pPr>
    </w:p>
    <w:bookmarkEnd w:id="31"/>
    <w:bookmarkEnd w:id="32"/>
    <w:bookmarkStart w:id="53" w:name="results"/>
    <w:p>
      <w:pPr>
        <w:pStyle w:val="Heading1"/>
      </w:pPr>
      <w:r>
        <w:t xml:space="preserve">Results</w:t>
      </w:r>
    </w:p>
    <w:bookmarkStart w:id="37" w:name="chlorophyll-specific-growth-rates-1"/>
    <w:p>
      <w:pPr>
        <w:pStyle w:val="Heading2"/>
      </w:pPr>
      <w:r>
        <w:t xml:space="preserve">Chlorophyll-specific growth rates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w:t>
      </w:r>
      <w:r>
        <w:t xml:space="preserve">concentrations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w:t>
      </w:r>
    </w:p>
    <w:p>
      <w:pPr>
        <w:pStyle w:val="BodyText"/>
      </w:pPr>
      <w:r>
        <w:t xml:space="preserve">Three-way factorial ANOVA showed that strain, growth waveband, O</w:t>
      </w:r>
      <w:r>
        <w:rPr>
          <w:vertAlign w:val="subscript"/>
        </w:rPr>
        <w:t xml:space="preserve">2</w:t>
      </w:r>
      <w:r>
        <w:t xml:space="preserve"> </w:t>
      </w:r>
      <w:r>
        <w:t xml:space="preserve">concentration, and their interactions, significantly affected μ (ANOVA,</w:t>
      </w:r>
      <w:r>
        <w:t xml:space="preserve"> </w:t>
      </w:r>
      <w:r>
        <w:rPr>
          <w:iCs/>
          <w:i/>
        </w:rPr>
        <w:t xml:space="preserve">p</w:t>
      </w:r>
      <w:r>
        <w:t xml:space="preserve"> </w:t>
      </w:r>
      <w:r>
        <w:t xml:space="preserve">&lt; 0.05 for all; Table S4).</w:t>
      </w:r>
    </w:p>
    <w:p>
      <w:pPr>
        <w:pStyle w:val="BodyText"/>
      </w:pPr>
      <w:r>
        <w:t xml:space="preserve">We have shown that PC-rich and PE-rich</w:t>
      </w:r>
      <w:r>
        <w:t xml:space="preserve"> </w:t>
      </w:r>
      <w:r>
        <w:rPr>
          <w:iCs/>
          <w:i/>
        </w:rPr>
        <w:t xml:space="preserve">Synechococcus</w:t>
      </w:r>
      <w:r>
        <w:t xml:space="preserve"> </w:t>
      </w:r>
      <w:r>
        <w:t xml:space="preserve">sp. are able to grow in low O</w:t>
      </w:r>
      <w:r>
        <w:rPr>
          <w:vertAlign w:val="subscript"/>
        </w:rPr>
        <w:t xml:space="preserve">2</w:t>
      </w:r>
      <w:r>
        <w:t xml:space="preserve"> </w:t>
      </w:r>
      <w:r>
        <w:t xml:space="preserve">condition in the entire range of tested spectral wavebands (405 – 730 nm). On the other hand, in the presence of high O</w:t>
      </w:r>
      <w:r>
        <w:rPr>
          <w:vertAlign w:val="subscript"/>
        </w:rPr>
        <w:t xml:space="preserve">2</w:t>
      </w:r>
      <w:r>
        <w:t xml:space="preserve"> </w:t>
      </w:r>
      <w:r>
        <w:t xml:space="preserve">concentrations (250 µM), PC-rich strain did not show growth at 405 nm and PE-rich strain did not growth at 405, 450, and 730 nm. What is more,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waveband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 Under O</w:t>
      </w:r>
      <w:r>
        <w:rPr>
          <w:vertAlign w:val="subscript"/>
        </w:rPr>
        <w:t xml:space="preserve">2</w:t>
      </w:r>
      <w:r>
        <w:t xml:space="preserve"> </w:t>
      </w:r>
      <w:r>
        <w:t xml:space="preserve">concentration of 2.5 µM, PE-rich strain showed high growth rates under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 Under 250 µM of O</w:t>
      </w:r>
      <w:r>
        <w:rPr>
          <w:vertAlign w:val="subscript"/>
        </w:rPr>
        <w:t xml:space="preserve">2</w:t>
      </w:r>
      <w:r>
        <w:t xml:space="preserve">, PE-rich strain showed the highest growth rate under green light at 530 nm (μ = 0.131 ± 0.046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concentrations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7"/>
    <w:bookmarkStart w:id="42" w:name="pigment-content-and-pigment-ratio-1"/>
    <w:p>
      <w:pPr>
        <w:pStyle w:val="Heading2"/>
      </w:pPr>
      <w:r>
        <w:t xml:space="preserve">Pigment content and pigment ratio</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w:t>
      </w:r>
      <w:r>
        <w:t xml:space="preserve">concentrations of 250 µM or 2.5 µM. Here, we not presented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Three-way factorial ANOVA showed that strain, growth waveband, O</w:t>
      </w:r>
      <w:r>
        <w:rPr>
          <w:vertAlign w:val="subscript"/>
        </w:rPr>
        <w:t xml:space="preserve">2</w:t>
      </w:r>
      <w:r>
        <w:t xml:space="preserve"> </w:t>
      </w:r>
      <w:r>
        <w:t xml:space="preserve">concentration, and their interactions, significantly affected cell-specific Chl</w:t>
      </w:r>
      <w:r>
        <w:t xml:space="preserve"> </w:t>
      </w:r>
      <w:r>
        <w:rPr>
          <w:iCs/>
          <w:i/>
        </w:rPr>
        <w:t xml:space="preserve">a</w:t>
      </w:r>
      <w:r>
        <w:t xml:space="preserve">, Phyco, or Car content (ANOVA,</w:t>
      </w:r>
      <w:r>
        <w:t xml:space="preserve"> </w:t>
      </w:r>
      <w:r>
        <w:rPr>
          <w:iCs/>
          <w:i/>
        </w:rPr>
        <w:t xml:space="preserve">p</w:t>
      </w:r>
      <w:r>
        <w:t xml:space="preserve"> </w:t>
      </w:r>
      <w:r>
        <w:t xml:space="preserve">&lt; 0.05 for all; Table S5). We showed that O</w:t>
      </w:r>
      <w:r>
        <w:rPr>
          <w:vertAlign w:val="subscript"/>
        </w:rPr>
        <w:t xml:space="preserve">2</w:t>
      </w:r>
      <w:r>
        <w:t xml:space="preserve"> </w:t>
      </w:r>
      <w:r>
        <w:t xml:space="preserve">concentration had little visible effect on the Chl</w:t>
      </w:r>
      <w:r>
        <w:t xml:space="preserve"> </w:t>
      </w:r>
      <w:r>
        <w:rPr>
          <w:iCs/>
          <w:i/>
        </w:rPr>
        <w:t xml:space="preserve">a</w:t>
      </w:r>
      <w:r>
        <w:t xml:space="preserve"> </w:t>
      </w:r>
      <w:r>
        <w:t xml:space="preserve">and Car content of PC-rich and PE-rich picocyanobacteria. For PC-rich strain, the highest Chl</w:t>
      </w:r>
      <w:r>
        <w:t xml:space="preserve"> </w:t>
      </w:r>
      <w:r>
        <w:rPr>
          <w:iCs/>
          <w:i/>
        </w:rPr>
        <w:t xml:space="preserve">a</w:t>
      </w:r>
      <w:r>
        <w:t xml:space="preserve">, Phyco, and Car content was recorded at 730 nm. Moreover, the Phyco content was higher under O</w:t>
      </w:r>
      <w:r>
        <w:rPr>
          <w:vertAlign w:val="subscript"/>
        </w:rPr>
        <w:t xml:space="preserve">2</w:t>
      </w:r>
      <w:r>
        <w:t xml:space="preserve"> </w:t>
      </w:r>
      <w:r>
        <w:t xml:space="preserve">concentration of 250 µM than 2.5 µM for PC-rich culture. On the other hand, we noted that for PE-rich cultures of</w:t>
      </w:r>
      <w:r>
        <w:t xml:space="preserve"> </w:t>
      </w:r>
      <w:r>
        <w:rPr>
          <w:iCs/>
          <w:i/>
        </w:rPr>
        <w:t xml:space="preserve">Synechococcus</w:t>
      </w:r>
      <w:r>
        <w:t xml:space="preserve"> </w:t>
      </w:r>
      <w:r>
        <w:t xml:space="preserve">sp. Phyco content was significantly higher in conditions of low O</w:t>
      </w:r>
      <w:r>
        <w:rPr>
          <w:vertAlign w:val="subscript"/>
        </w:rPr>
        <w:t xml:space="preserve">2</w:t>
      </w:r>
      <w:r>
        <w:t xml:space="preserve"> </w:t>
      </w:r>
      <w:r>
        <w:t xml:space="preserve">concentration than high O</w:t>
      </w:r>
      <w:r>
        <w:rPr>
          <w:vertAlign w:val="subscript"/>
        </w:rPr>
        <w:t xml:space="preserve">2</w:t>
      </w:r>
      <w:r>
        <w:t xml:space="preserve"> </w:t>
      </w:r>
      <w:r>
        <w:t xml:space="preserve">concentration. For this strain, the highest Phyco content was noted under red spectral waveband of 620 nm and 2.5 µM and was XXXX pg cell</w:t>
      </w:r>
      <w:r>
        <w:t xml:space="preserve"> </w:t>
      </w:r>
      <w:r>
        <w:rPr>
          <w:vertAlign w:val="superscript"/>
        </w:rPr>
        <w:t xml:space="preserve">−1</w:t>
      </w:r>
      <w:r>
        <w:t xml:space="preserve">.</w:t>
      </w:r>
    </w:p>
    <w:p>
      <w:pPr>
        <w:pStyle w:val="BodyText"/>
      </w:pPr>
      <w:r>
        <w:t xml:space="preserve">Here, we also presented linear regressions between chlorophyll-specific growth rates (µ; d</w:t>
      </w:r>
      <w:r>
        <w:rPr>
          <w:vertAlign w:val="superscript"/>
        </w:rPr>
        <w:t xml:space="preserve">−1</w:t>
      </w:r>
      <w:r>
        <w:t xml:space="preserve">) and Phycobiliproteins:Chlorophyll</w:t>
      </w:r>
      <w:r>
        <w:t xml:space="preserve"> </w:t>
      </w:r>
      <w:r>
        <w:rPr>
          <w:iCs/>
          <w:i/>
        </w:rPr>
        <w:t xml:space="preserve">a</w:t>
      </w:r>
      <w:r>
        <w:t xml:space="preserve"> </w:t>
      </w:r>
      <w:r>
        <w:t xml:space="preserve">ratio (µg:µg) for PC-rich and PE-rich</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w:t>
      </w:r>
      <w:r>
        <w:t xml:space="preserve">concentrations of 250 µM or 2.5 µM (Fig.</w:t>
      </w:r>
      <w:r>
        <w:t xml:space="preserve"> </w:t>
      </w:r>
      <w:r>
        <w:t xml:space="preserve">2</w:t>
      </w:r>
      <w:r>
        <w:rPr>
          <w:iCs/>
          <w:i/>
        </w:rPr>
        <w:t xml:space="preserve">b</w:t>
      </w:r>
      <w:r>
        <w:t xml:space="preserve">). We have shown that the ratio of phycobiliproteins to Chlorophyll</w:t>
      </w:r>
      <w:r>
        <w:t xml:space="preserve"> </w:t>
      </w:r>
      <w:r>
        <w:rPr>
          <w:iCs/>
          <w:i/>
        </w:rPr>
        <w:t xml:space="preserve">a</w:t>
      </w:r>
      <w:r>
        <w:t xml:space="preserve"> </w:t>
      </w:r>
      <w:r>
        <w:t xml:space="preserve">positively affects µ of the tested picocyanobacteria. Moreover, we showed that for the PC-rich strain, no statistical differences were found between data sets fitted across 2.5 µM and 250 µM O</w:t>
      </w:r>
      <w:r>
        <w:rPr>
          <w:vertAlign w:val="subscript"/>
        </w:rPr>
        <w:t xml:space="preserve">2</w:t>
      </w:r>
      <w:r>
        <w:t xml:space="preserve"> </w:t>
      </w:r>
      <w:r>
        <w:t xml:space="preserve">(</w:t>
      </w:r>
      <w:r>
        <w:rPr>
          <w:iCs/>
          <w:i/>
        </w:rPr>
        <w:t xml:space="preserve">t</w:t>
      </w:r>
      <w:r>
        <w:t xml:space="preserve">-test;</w:t>
      </w:r>
      <w:r>
        <w:t xml:space="preserve"> </w:t>
      </w:r>
      <w:r>
        <w:rPr>
          <w:iCs/>
          <w:i/>
        </w:rPr>
        <w:t xml:space="preserve">p</w:t>
      </w:r>
      <w:r>
        <w:t xml:space="preserve"> </w:t>
      </w:r>
      <w:r>
        <w:t xml:space="preserve">&gt; 0.05, Tab S.9). On the other hand, PE-rich culture showed strong statistical differences between the fit model plotted in O</w:t>
      </w:r>
      <w:r>
        <w:rPr>
          <w:vertAlign w:val="subscript"/>
        </w:rPr>
        <w:t xml:space="preserve">2</w:t>
      </w:r>
      <w:r>
        <w:t xml:space="preserve"> </w:t>
      </w:r>
      <w:r>
        <w:t xml:space="preserve">concentrations of 2.5 and 250 µM (</w:t>
      </w:r>
      <w:r>
        <w:rPr>
          <w:iCs/>
          <w:i/>
        </w:rPr>
        <w:t xml:space="preserve">t</w:t>
      </w:r>
      <w:r>
        <w:t xml:space="preserve">-test;</w:t>
      </w:r>
      <w:r>
        <w:t xml:space="preserve"> </w:t>
      </w:r>
      <w:r>
        <w:rPr>
          <w:iCs/>
          <w:i/>
        </w:rPr>
        <w:t xml:space="preserve">p</w:t>
      </w:r>
      <w:r>
        <w:t xml:space="preserve"> </w:t>
      </w:r>
      <w:r>
        <w:t xml:space="preserve">&lt; 0.05, Tab S.9). What is more, when comparing PC-rich and PE-rich strains together, differences between low and high O</w:t>
      </w:r>
      <w:r>
        <w:rPr>
          <w:vertAlign w:val="subscript"/>
        </w:rPr>
        <w:t xml:space="preserve">2</w:t>
      </w:r>
      <w:r>
        <w:t xml:space="preserve"> </w:t>
      </w:r>
      <w:r>
        <w:t xml:space="preserve">concentrations were also demonstrated (</w:t>
      </w:r>
      <w:r>
        <w:rPr>
          <w:iCs/>
          <w:i/>
        </w:rPr>
        <w:t xml:space="preserve">t</w:t>
      </w:r>
      <w:r>
        <w:t xml:space="preserve">-test;</w:t>
      </w:r>
      <w:r>
        <w:t xml:space="preserve"> </w:t>
      </w:r>
      <w:r>
        <w:rPr>
          <w:iCs/>
          <w:i/>
        </w:rPr>
        <w:t xml:space="preserve">p</w:t>
      </w:r>
      <w:r>
        <w:t xml:space="preserve"> </w:t>
      </w:r>
      <w:r>
        <w:t xml:space="preserve">&lt; 0.05, Tab S.9).</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strains or given O2 concentrations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w:t>
      </w:r>
      <w:r>
        <w:t xml:space="preserve">(solid for 2.5 µM O</w:t>
      </w:r>
      <w:r>
        <w:rPr>
          <w:vertAlign w:val="subscript"/>
        </w:rPr>
        <w:t xml:space="preserve">2</w:t>
      </w:r>
      <w:r>
        <w:t xml:space="preserve"> </w:t>
      </w:r>
      <w:r>
        <w:t xml:space="preserve">or dashed for 250 µM O</w:t>
      </w:r>
      <w:r>
        <w:rPr>
          <w:vertAlign w:val="subscript"/>
        </w:rPr>
        <w:t xml:space="preserve">2</w:t>
      </w:r>
      <w:r>
        <w:t xml:space="preserve">) across spectral wavebands.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5017cac93ee094a4acb0f0cbebfdeafb6cfc562"/>
    <w:p>
      <w:pPr>
        <w:pStyle w:val="Heading2"/>
      </w:pPr>
      <w:r>
        <w:t xml:space="preserve">Effective absorption cross section of PSII, turnover time of PSII photochemistry, and photochemical quenching coefficient</w:t>
      </w:r>
    </w:p>
    <w:p>
      <w:pPr>
        <w:pStyle w:val="FirstParagraph"/>
      </w:pPr>
      <w:r>
        <w:t xml:space="preserve">The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or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was shown in Fig.</w:t>
      </w:r>
      <w:r>
        <w:t xml:space="preserve"> </w:t>
      </w:r>
      <w:r>
        <w:t xml:space="preserve">3</w:t>
      </w:r>
      <w:r>
        <w:rPr>
          <w:iCs/>
          <w:i/>
        </w:rPr>
        <w:t xml:space="preserve">a-c</w:t>
      </w:r>
      <w:r>
        <w:t xml:space="preserve">). Those parameters were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Data show situations in which PC-rich and PE-rich cultures were excited by, and growing in, corresponding growth wavebands of 450, 470, 530, or 620 nm and O</w:t>
      </w:r>
      <w:r>
        <w:rPr>
          <w:vertAlign w:val="subscript"/>
        </w:rPr>
        <w:t xml:space="preserve">2</w:t>
      </w:r>
      <w:r>
        <w:t xml:space="preserve"> </w:t>
      </w:r>
      <w:r>
        <w:t xml:space="preserve">concentrations of 250 µM or 2.5 µM. Please note, we not presented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In the Supplementary materials (Fig S4-S6), we also showed the same data determined for all excitations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wavebands (450, 470, 530, or 620 nm) combinations.</w:t>
      </w:r>
    </w:p>
    <w:p>
      <w:pPr>
        <w:pStyle w:val="BodyText"/>
      </w:pPr>
      <w:r>
        <w:t xml:space="preserve">We demonstrated that σ</w:t>
      </w:r>
      <w:r>
        <w:rPr>
          <w:vertAlign w:val="subscript"/>
        </w:rPr>
        <w:t xml:space="preserve">PSII</w:t>
      </w:r>
      <w:r>
        <w:t xml:space="preserve"> </w:t>
      </w:r>
      <w:r>
        <w:t xml:space="preserve">(Fig.</w:t>
      </w:r>
      <w:r>
        <w:t xml:space="preserve"> </w:t>
      </w:r>
      <w:r>
        <w:t xml:space="preserve">3</w:t>
      </w:r>
      <w:r>
        <w:rPr>
          <w:iCs/>
          <w:i/>
        </w:rPr>
        <w:t xml:space="preserve">a</w:t>
      </w:r>
      <w:r>
        <w:t xml:space="preserve">), as expected, shows no changes during excitation at Ex</w:t>
      </w:r>
      <w:r>
        <w:rPr>
          <w:vertAlign w:val="subscript"/>
        </w:rPr>
        <w:t xml:space="preserve">445nm</w:t>
      </w:r>
      <w:r>
        <w:t xml:space="preserve"> </w:t>
      </w:r>
      <w:r>
        <w:t xml:space="preserve">and Ex</w:t>
      </w:r>
      <w:r>
        <w:rPr>
          <w:vertAlign w:val="subscript"/>
        </w:rPr>
        <w:t xml:space="preserve">440nm</w:t>
      </w:r>
      <w:r>
        <w:t xml:space="preserve"> </w:t>
      </w:r>
      <w:r>
        <w:t xml:space="preserve">for PC-rich and PE-rich strains. For PC-rich, under orange excitation at Ex</w:t>
      </w:r>
      <w:r>
        <w:rPr>
          <w:vertAlign w:val="subscript"/>
        </w:rPr>
        <w:t xml:space="preserve">590nm</w:t>
      </w:r>
      <w:r>
        <w:t xml:space="preserve">, σ</w:t>
      </w:r>
      <w:r>
        <w:rPr>
          <w:vertAlign w:val="subscript"/>
        </w:rPr>
        <w:t xml:space="preserve">PSII</w:t>
      </w:r>
      <w:r>
        <w:t xml:space="preserve"> </w:t>
      </w:r>
      <w:r>
        <w:t xml:space="preserve">showed a mild decrease with increasing Actinic PAR and was higher at 250 µM O</w:t>
      </w:r>
      <w:r>
        <w:rPr>
          <w:vertAlign w:val="subscript"/>
        </w:rPr>
        <w:t xml:space="preserve">2</w:t>
      </w:r>
      <w:r>
        <w:t xml:space="preserve"> </w:t>
      </w:r>
      <w:r>
        <w:t xml:space="preserve">compared to 2.5 µM O</w:t>
      </w:r>
      <w:r>
        <w:rPr>
          <w:vertAlign w:val="subscript"/>
        </w:rPr>
        <w:t xml:space="preserve">2</w:t>
      </w:r>
      <w:r>
        <w:t xml:space="preserve">. In turn, for the PE-rich strain, a drastic decrease in σ</w:t>
      </w:r>
      <w:r>
        <w:rPr>
          <w:vertAlign w:val="subscript"/>
        </w:rPr>
        <w:t xml:space="preserve">PSII</w:t>
      </w:r>
      <w:r>
        <w:t xml:space="preserve"> </w:t>
      </w:r>
      <w:r>
        <w:t xml:space="preserve">was noted with an increase in Actinic PAR. Moreover, σ</w:t>
      </w:r>
      <w:r>
        <w:rPr>
          <w:vertAlign w:val="subscript"/>
        </w:rPr>
        <w:t xml:space="preserve">PSII</w:t>
      </w:r>
      <w:r>
        <w:t xml:space="preserve"> </w:t>
      </w:r>
      <w:r>
        <w:t xml:space="preserve">was higher in low O</w:t>
      </w:r>
      <w:r>
        <w:rPr>
          <w:vertAlign w:val="subscript"/>
        </w:rPr>
        <w:t xml:space="preserve">2</w:t>
      </w:r>
      <w:r>
        <w:t xml:space="preserve"> </w:t>
      </w:r>
      <w:r>
        <w:t xml:space="preserve">conditions than in high O</w:t>
      </w:r>
      <w:r>
        <w:rPr>
          <w:vertAlign w:val="subscript"/>
        </w:rPr>
        <w:t xml:space="preserve">2</w:t>
      </w:r>
      <w:r>
        <w:t xml:space="preserve"> </w:t>
      </w:r>
      <w:r>
        <w:t xml:space="preserve">conditions. σ</w:t>
      </w:r>
      <w:r>
        <w:rPr>
          <w:vertAlign w:val="subscript"/>
        </w:rPr>
        <w:t xml:space="preserve">PSII</w:t>
      </w:r>
      <w:r>
        <w:t xml:space="preserve"> </w:t>
      </w:r>
      <w:r>
        <w:t xml:space="preserve">showed was higher for PE-rich culture at Ex</w:t>
      </w:r>
      <w:r>
        <w:rPr>
          <w:vertAlign w:val="subscript"/>
        </w:rPr>
        <w:t xml:space="preserve">535nm</w:t>
      </w:r>
      <w:r>
        <w:t xml:space="preserve"> </w:t>
      </w:r>
      <w:r>
        <w:t xml:space="preserve">and Ex</w:t>
      </w:r>
      <w:r>
        <w:rPr>
          <w:vertAlign w:val="subscript"/>
        </w:rPr>
        <w:t xml:space="preserve">590nm</w:t>
      </w:r>
      <w:r>
        <w:t xml:space="preserve"> </w:t>
      </w:r>
      <w:r>
        <w:t xml:space="preserve">than for PC-rich strain. What is more, three-way factorial ANOVA also showed that strain, Actinic PAR, O</w:t>
      </w:r>
      <w:r>
        <w:rPr>
          <w:vertAlign w:val="subscript"/>
        </w:rPr>
        <w:t xml:space="preserve">2</w:t>
      </w:r>
      <w:r>
        <w:t xml:space="preserve"> </w:t>
      </w:r>
      <w:r>
        <w:t xml:space="preserve">concentration, but not their interactions, significantly affected σ</w:t>
      </w:r>
      <w:r>
        <w:rPr>
          <w:vertAlign w:val="subscript"/>
        </w:rPr>
        <w:t xml:space="preserve">PSII</w:t>
      </w:r>
      <w:r>
        <w:t xml:space="preserve"> </w:t>
      </w:r>
      <w:r>
        <w:t xml:space="preserve">under excitation at Ex</w:t>
      </w:r>
      <w:r>
        <w:rPr>
          <w:vertAlign w:val="subscript"/>
        </w:rPr>
        <w:t xml:space="preserve">590nm</w:t>
      </w:r>
      <w:r>
        <w:t xml:space="preserve"> </w:t>
      </w:r>
      <w:r>
        <w:t xml:space="preserve">(ANOVA,</w:t>
      </w:r>
      <w:r>
        <w:t xml:space="preserve"> </w:t>
      </w:r>
      <w:r>
        <w:rPr>
          <w:iCs/>
          <w:i/>
        </w:rPr>
        <w:t xml:space="preserve">p</w:t>
      </w:r>
      <w:r>
        <w:t xml:space="preserve"> </w:t>
      </w:r>
      <w:r>
        <w:t xml:space="preserve">&lt; 0.05; Table S6).</w:t>
      </w:r>
    </w:p>
    <w:p>
      <w:pPr>
        <w:pStyle w:val="BodyText"/>
      </w:pPr>
      <w:r>
        <w:t xml:space="preserve">For PC-rich culture, regardless of the used excitation, τ</w:t>
      </w:r>
      <w:r>
        <w:rPr>
          <w:vertAlign w:val="subscript"/>
        </w:rPr>
        <w:t xml:space="preserve">PSII</w:t>
      </w:r>
      <w:r>
        <w:t xml:space="preserve"> </w:t>
      </w:r>
      <w:r>
        <w:t xml:space="preserve">showed a decrease at low Actinic PAR and reached a plateau with increasing light (Fig.</w:t>
      </w:r>
      <w:r>
        <w:t xml:space="preserve"> </w:t>
      </w:r>
      <w:r>
        <w:t xml:space="preserve">3</w:t>
      </w:r>
      <w:r>
        <w:rPr>
          <w:iCs/>
          <w:i/>
        </w:rPr>
        <w:t xml:space="preserve">b</w:t>
      </w:r>
      <w:r>
        <w:t xml:space="preserve">). PE-rich strains, on the other hand, showed a strong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We also showed that τ</w:t>
      </w:r>
      <w:r>
        <w:rPr>
          <w:vertAlign w:val="subscript"/>
        </w:rPr>
        <w:t xml:space="preserve">PSII</w:t>
      </w:r>
      <w:r>
        <w:t xml:space="preserve">, was generally higher for both PC-rich and PE-rich strains under O</w:t>
      </w:r>
      <w:r>
        <w:rPr>
          <w:vertAlign w:val="subscript"/>
        </w:rPr>
        <w:t xml:space="preserve">2</w:t>
      </w:r>
      <w:r>
        <w:t xml:space="preserve"> </w:t>
      </w:r>
      <w:r>
        <w:t xml:space="preserve">concentrations of 2.5 µM. Three-way factorial ANOVA showed that strain, Actinic PAR, O</w:t>
      </w:r>
      <w:r>
        <w:rPr>
          <w:vertAlign w:val="subscript"/>
        </w:rPr>
        <w:t xml:space="preserve">2</w:t>
      </w:r>
      <w:r>
        <w:t xml:space="preserve"> </w:t>
      </w:r>
      <w:r>
        <w:t xml:space="preserve">concentration, but not their interactions, significantly affected τ</w:t>
      </w:r>
      <w:r>
        <w:rPr>
          <w:vertAlign w:val="subscript"/>
        </w:rPr>
        <w:t xml:space="preserve">PSII</w:t>
      </w:r>
      <w:r>
        <w:t xml:space="preserve"> </w:t>
      </w:r>
      <w:r>
        <w:t xml:space="preserve">at Ex</w:t>
      </w:r>
      <w:r>
        <w:rPr>
          <w:vertAlign w:val="subscript"/>
        </w:rPr>
        <w:t xml:space="preserve">470nm</w:t>
      </w:r>
      <w:r>
        <w:t xml:space="preserve"> </w:t>
      </w:r>
      <w:r>
        <w:t xml:space="preserve">and Ex</w:t>
      </w:r>
      <w:r>
        <w:rPr>
          <w:vertAlign w:val="subscript"/>
        </w:rPr>
        <w:t xml:space="preserve">535nm</w:t>
      </w:r>
      <w:r>
        <w:t xml:space="preserve"> </w:t>
      </w:r>
      <w:r>
        <w:t xml:space="preserve">(ANOVA,</w:t>
      </w:r>
      <w:r>
        <w:t xml:space="preserve"> </w:t>
      </w:r>
      <w:r>
        <w:rPr>
          <w:iCs/>
          <w:i/>
        </w:rPr>
        <w:t xml:space="preserve">p</w:t>
      </w:r>
      <w:r>
        <w:t xml:space="preserve"> </w:t>
      </w:r>
      <w:r>
        <w:t xml:space="preserve">&lt; 0.05; Table S7). What is more, strain, Actinic PAR, O</w:t>
      </w:r>
      <w:r>
        <w:rPr>
          <w:vertAlign w:val="subscript"/>
        </w:rPr>
        <w:t xml:space="preserve">2</w:t>
      </w:r>
      <w:r>
        <w:t xml:space="preserve"> </w:t>
      </w:r>
      <w:r>
        <w:t xml:space="preserve">concentration, and their interactions significantly affected τ</w:t>
      </w:r>
      <w:r>
        <w:rPr>
          <w:vertAlign w:val="subscript"/>
        </w:rPr>
        <w:t xml:space="preserve">PSII</w:t>
      </w:r>
      <w:r>
        <w:t xml:space="preserve"> </w:t>
      </w:r>
      <w:r>
        <w:t xml:space="preserve">at Ex</w:t>
      </w:r>
      <w:r>
        <w:rPr>
          <w:vertAlign w:val="subscript"/>
        </w:rPr>
        <w:t xml:space="preserve">590nm</w:t>
      </w:r>
      <w:r>
        <w:t xml:space="preserve"> </w:t>
      </w:r>
      <w:r>
        <w:t xml:space="preserve">(ANOVA,</w:t>
      </w:r>
      <w:r>
        <w:t xml:space="preserve"> </w:t>
      </w:r>
      <w:r>
        <w:rPr>
          <w:iCs/>
          <w:i/>
        </w:rPr>
        <w:t xml:space="preserve">p</w:t>
      </w:r>
      <w:r>
        <w:t xml:space="preserve"> </w:t>
      </w:r>
      <w:r>
        <w:t xml:space="preserve">&lt; 0.05; Table S7).</w:t>
      </w:r>
    </w:p>
    <w:p>
      <w:pPr>
        <w:pStyle w:val="BodyText"/>
      </w:pPr>
      <w:r>
        <w:t xml:space="preserve">q</w:t>
      </w:r>
      <w:r>
        <w:rPr>
          <w:vertAlign w:val="subscript"/>
        </w:rPr>
        <w:t xml:space="preserve">P</w:t>
      </w:r>
      <w:r>
        <w:t xml:space="preserve">, regardless of the excitation tested, showed a strong decrease with increasing Actinic PAR (Fig.</w:t>
      </w:r>
      <w:r>
        <w:t xml:space="preserve"> </w:t>
      </w:r>
      <w:r>
        <w:t xml:space="preserve">3</w:t>
      </w:r>
      <w:r>
        <w:rPr>
          <w:iCs/>
          <w:i/>
        </w:rPr>
        <w:t xml:space="preserve">c</w:t>
      </w:r>
      <w:r>
        <w:t xml:space="preserve">). Interestingly, q</w:t>
      </w:r>
      <w:r>
        <w:rPr>
          <w:vertAlign w:val="subscript"/>
        </w:rPr>
        <w:t xml:space="preserve">P</w:t>
      </w:r>
      <w:r>
        <w:t xml:space="preserve"> </w:t>
      </w:r>
      <w:r>
        <w:t xml:space="preserve">was generally higher for both PC-rich and PE-rich strains under O</w:t>
      </w:r>
      <w:r>
        <w:rPr>
          <w:vertAlign w:val="subscript"/>
        </w:rPr>
        <w:t xml:space="preserve">2</w:t>
      </w:r>
      <w:r>
        <w:t xml:space="preserve"> </w:t>
      </w:r>
      <w:r>
        <w:t xml:space="preserve">concentrations of 250 µM. Three-way factorial ANOVA showed that strain, Actinic PAR, O</w:t>
      </w:r>
      <w:r>
        <w:rPr>
          <w:vertAlign w:val="subscript"/>
        </w:rPr>
        <w:t xml:space="preserve">2</w:t>
      </w:r>
      <w:r>
        <w:t xml:space="preserve"> </w:t>
      </w:r>
      <w:r>
        <w:t xml:space="preserve">concentration, but not their interactions, significantly affected q</w:t>
      </w:r>
      <w:r>
        <w:rPr>
          <w:vertAlign w:val="subscript"/>
        </w:rPr>
        <w:t xml:space="preserve">P</w:t>
      </w:r>
      <w:r>
        <w:t xml:space="preserve"> </w:t>
      </w:r>
      <w:r>
        <w:t xml:space="preserve">at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(ANOVA,</w:t>
      </w:r>
      <w:r>
        <w:t xml:space="preserve"> </w:t>
      </w:r>
      <w:r>
        <w:rPr>
          <w:iCs/>
          <w:i/>
        </w:rPr>
        <w:t xml:space="preserve">p</w:t>
      </w:r>
      <w:r>
        <w:t xml:space="preserve"> </w:t>
      </w:r>
      <w:r>
        <w:t xml:space="preserve">&lt; 0.05 for all; 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2432087011c5407ecfc34c65f5ceb2cc29b522"/>
    <w:p>
      <w:pPr>
        <w:pStyle w:val="Heading2"/>
      </w:pPr>
      <w:r>
        <w:t xml:space="preserve">Growth rates vs. cumulative diel PSII electron flux</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Data show situations in which PC-rich and PE-rich cultures were excited by, and growing in, corresponding growth wavebands of 450, 470, 530, or 620 nm and O</w:t>
      </w:r>
      <w:r>
        <w:rPr>
          <w:vertAlign w:val="subscript"/>
        </w:rPr>
        <w:t xml:space="preserve">2</w:t>
      </w:r>
      <w:r>
        <w:t xml:space="preserve"> </w:t>
      </w:r>
      <w:r>
        <w:t xml:space="preserve">concentrations of 250 µM or 2.5 µM. We not presented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We have shown that the</w:t>
      </w:r>
      <w:r>
        <w:t xml:space="preserve"> </w:t>
      </w:r>
      <w:r>
        <w:rPr>
          <w:iCs/>
          <w:i/>
        </w:rPr>
        <w:t xml:space="preserve">JV</w:t>
      </w:r>
      <w:r>
        <w:rPr>
          <w:vertAlign w:val="subscript"/>
        </w:rPr>
        <w:t xml:space="preserve">PSII</w:t>
      </w:r>
      <w:r>
        <w:t xml:space="preserve"> </w:t>
      </w:r>
      <w:r>
        <w:t xml:space="preserve">positively affects µ of the tested PE-rich picocyanobacteria? XXX Stop here, need stats firstXXX</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wavebands. Different blue lowercase letters indicate statistically significant differences between the fit models for different strains or given O2 concentrations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wavebands.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4" w:name="discussion"/>
    <w:p>
      <w:pPr>
        <w:pStyle w:val="Heading1"/>
      </w:pPr>
      <w:r>
        <w:t xml:space="preserve">Discussion</w:t>
      </w:r>
    </w:p>
    <w:p>
      <w:pPr>
        <w:pStyle w:val="FirstParagraph"/>
      </w:pPr>
    </w:p>
    <w:bookmarkEnd w:id="54"/>
    <w:bookmarkStart w:id="55"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5"/>
    <w:bookmarkStart w:id="5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Start w:id="57"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7"/>
    <w:bookmarkStart w:id="58"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8"/>
    <w:bookmarkEnd w:id="59"/>
    <w:bookmarkStart w:id="102" w:name="references"/>
    <w:p>
      <w:pPr>
        <w:pStyle w:val="Heading1"/>
      </w:pPr>
      <w:r>
        <w:t xml:space="preserve">References</w:t>
      </w:r>
    </w:p>
    <w:bookmarkStart w:id="101" w:name="refs"/>
    <w:bookmarkStart w:id="61"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0">
        <w:r>
          <w:rPr>
            <w:rStyle w:val="Hyperlink"/>
          </w:rPr>
          <w:t xml:space="preserve">10.1083/jcb.58.2.419</w:t>
        </w:r>
      </w:hyperlink>
      <w:r>
        <w:t xml:space="preserve">.</w:t>
      </w:r>
    </w:p>
    <w:bookmarkEnd w:id="61"/>
    <w:bookmarkStart w:id="6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2"/>
    <w:bookmarkStart w:id="6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3">
        <w:r>
          <w:rPr>
            <w:rStyle w:val="Hyperlink"/>
          </w:rPr>
          <w:t xml:space="preserve">10.3389/fmars.2019.00319</w:t>
        </w:r>
      </w:hyperlink>
      <w:r>
        <w:t xml:space="preserve">.</w:t>
      </w:r>
    </w:p>
    <w:bookmarkEnd w:id="64"/>
    <w:bookmarkStart w:id="6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5">
        <w:r>
          <w:rPr>
            <w:rStyle w:val="Hyperlink"/>
          </w:rPr>
          <w:t xml:space="preserve">10.1126/science.aam7240</w:t>
        </w:r>
      </w:hyperlink>
      <w:r>
        <w:t xml:space="preserve">.</w:t>
      </w:r>
    </w:p>
    <w:bookmarkEnd w:id="66"/>
    <w:bookmarkStart w:id="6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7"/>
    <w:bookmarkStart w:id="6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8"/>
    <w:bookmarkStart w:id="7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9">
        <w:r>
          <w:rPr>
            <w:rStyle w:val="Hyperlink"/>
          </w:rPr>
          <w:t xml:space="preserve">10.1073/pnas.1307701110</w:t>
        </w:r>
      </w:hyperlink>
      <w:r>
        <w:t xml:space="preserve">.</w:t>
      </w:r>
    </w:p>
    <w:bookmarkEnd w:id="70"/>
    <w:bookmarkStart w:id="7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1">
        <w:r>
          <w:rPr>
            <w:rStyle w:val="Hyperlink"/>
          </w:rPr>
          <w:t xml:space="preserve">10.1007/978-1-4615-8714-9_3</w:t>
        </w:r>
      </w:hyperlink>
      <w:r>
        <w:t xml:space="preserve">.</w:t>
      </w:r>
    </w:p>
    <w:bookmarkEnd w:id="72"/>
    <w:bookmarkStart w:id="7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3"/>
    <w:bookmarkStart w:id="7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4">
        <w:r>
          <w:rPr>
            <w:rStyle w:val="Hyperlink"/>
          </w:rPr>
          <w:t xml:space="preserve">10.1016/j.jphotobiol.2005.10.002</w:t>
        </w:r>
      </w:hyperlink>
      <w:r>
        <w:t xml:space="preserve">.</w:t>
      </w:r>
    </w:p>
    <w:bookmarkEnd w:id="75"/>
    <w:bookmarkStart w:id="77"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6">
        <w:r>
          <w:rPr>
            <w:rStyle w:val="Hyperlink"/>
          </w:rPr>
          <w:t xml:space="preserve">10.1016/S0005-2728(98)00135-2</w:t>
        </w:r>
      </w:hyperlink>
      <w:r>
        <w:t xml:space="preserve">.</w:t>
      </w:r>
    </w:p>
    <w:bookmarkEnd w:id="77"/>
    <w:bookmarkStart w:id="7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8">
        <w:r>
          <w:rPr>
            <w:rStyle w:val="Hyperlink"/>
          </w:rPr>
          <w:t xml:space="preserve">10.1023/A:1005936823310</w:t>
        </w:r>
      </w:hyperlink>
      <w:r>
        <w:t xml:space="preserve">.</w:t>
      </w:r>
    </w:p>
    <w:bookmarkEnd w:id="79"/>
    <w:bookmarkStart w:id="8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0">
        <w:r>
          <w:rPr>
            <w:rStyle w:val="Hyperlink"/>
          </w:rPr>
          <w:t xml:space="preserve">10.4319/lom.2012.10.142</w:t>
        </w:r>
      </w:hyperlink>
      <w:r>
        <w:t xml:space="preserve">.</w:t>
      </w:r>
    </w:p>
    <w:bookmarkEnd w:id="81"/>
    <w:bookmarkStart w:id="8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2"/>
    <w:bookmarkStart w:id="84" w:name="ref-posit"/>
    <w:p>
      <w:pPr>
        <w:pStyle w:val="Bibliography"/>
      </w:pPr>
      <w:r>
        <w:t xml:space="preserve">Posit team. 2022. RStudio: Integrated development environment for r. Posit Software, PBC, Boston, MA. Available from</w:t>
      </w:r>
      <w:r>
        <w:t xml:space="preserve"> </w:t>
      </w:r>
      <w:hyperlink r:id="rId83">
        <w:r>
          <w:rPr>
            <w:rStyle w:val="Hyperlink"/>
          </w:rPr>
          <w:t xml:space="preserve">http://www.posit.co/</w:t>
        </w:r>
      </w:hyperlink>
      <w:r>
        <w:t xml:space="preserve">.</w:t>
      </w:r>
    </w:p>
    <w:bookmarkEnd w:id="84"/>
    <w:bookmarkStart w:id="86" w:name="ref-rcore"/>
    <w:p>
      <w:pPr>
        <w:pStyle w:val="Bibliography"/>
      </w:pPr>
      <w:r>
        <w:t xml:space="preserve">R Core Team. 2023. R: A language and environment for statistical computing. R Foundation for Statistical Computing, Vienna, Austria. Available from</w:t>
      </w:r>
      <w:r>
        <w:t xml:space="preserve"> </w:t>
      </w:r>
      <w:hyperlink r:id="rId85">
        <w:r>
          <w:rPr>
            <w:rStyle w:val="Hyperlink"/>
          </w:rPr>
          <w:t xml:space="preserve">https://www.R-project.org/</w:t>
        </w:r>
      </w:hyperlink>
      <w:r>
        <w:t xml:space="preserve">.</w:t>
      </w:r>
    </w:p>
    <w:bookmarkEnd w:id="86"/>
    <w:bookmarkStart w:id="8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7">
        <w:r>
          <w:rPr>
            <w:rStyle w:val="Hyperlink"/>
          </w:rPr>
          <w:t xml:space="preserve">DOI: http://dx.doi.org/10.25607/OBP-1791</w:t>
        </w:r>
      </w:hyperlink>
      <w:r>
        <w:t xml:space="preserve">.</w:t>
      </w:r>
    </w:p>
    <w:bookmarkEnd w:id="88"/>
    <w:bookmarkStart w:id="9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89">
        <w:r>
          <w:rPr>
            <w:rStyle w:val="Hyperlink"/>
          </w:rPr>
          <w:t xml:space="preserve">10.25607/OBP-1084</w:t>
        </w:r>
      </w:hyperlink>
      <w:r>
        <w:t xml:space="preserve">.</w:t>
      </w:r>
    </w:p>
    <w:bookmarkEnd w:id="90"/>
    <w:bookmarkStart w:id="9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1">
        <w:r>
          <w:rPr>
            <w:rStyle w:val="Hyperlink"/>
          </w:rPr>
          <w:t xml:space="preserve">10.1073/pnas.1205009109</w:t>
        </w:r>
      </w:hyperlink>
      <w:r>
        <w:t xml:space="preserve">.</w:t>
      </w:r>
    </w:p>
    <w:bookmarkEnd w:id="92"/>
    <w:bookmarkStart w:id="9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3">
        <w:r>
          <w:rPr>
            <w:rStyle w:val="Hyperlink"/>
          </w:rPr>
          <w:t xml:space="preserve">10.1007/978-3-319-24277-4_9</w:t>
        </w:r>
      </w:hyperlink>
      <w:r>
        <w:t xml:space="preserve">.</w:t>
      </w:r>
    </w:p>
    <w:bookmarkEnd w:id="94"/>
    <w:bookmarkStart w:id="9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5">
        <w:r>
          <w:rPr>
            <w:rStyle w:val="Hyperlink"/>
          </w:rPr>
          <w:t xml:space="preserve">10.1002/cyto.a.24508</w:t>
        </w:r>
      </w:hyperlink>
      <w:r>
        <w:t xml:space="preserve">.</w:t>
      </w:r>
    </w:p>
    <w:bookmarkEnd w:id="96"/>
    <w:bookmarkStart w:id="9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7">
        <w:r>
          <w:rPr>
            <w:rStyle w:val="Hyperlink"/>
          </w:rPr>
          <w:t xml:space="preserve">10.1002/lno.12367</w:t>
        </w:r>
      </w:hyperlink>
      <w:r>
        <w:t xml:space="preserve">.</w:t>
      </w:r>
    </w:p>
    <w:bookmarkEnd w:id="98"/>
    <w:bookmarkStart w:id="10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99">
        <w:r>
          <w:rPr>
            <w:rStyle w:val="Hyperlink"/>
          </w:rPr>
          <w:t xml:space="preserve">10.1016/j.bbabio.2017.03.003</w:t>
        </w:r>
      </w:hyperlink>
      <w:r>
        <w:t xml:space="preserve">.</w:t>
      </w:r>
    </w:p>
    <w:bookmarkEnd w:id="100"/>
    <w:bookmarkEnd w:id="101"/>
    <w:bookmarkEnd w:id="10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2024-06-19T16:49:44Z</dcterms:created>
  <dcterms:modified xsi:type="dcterms:W3CDTF">2024-06-19T16:49:44Z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